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3.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bookmarkStart w:id="0" w:name="_GoBack"/>
      <w:bookmarkEnd w:id="0"/>
      <w:r>
        <w:rPr>
          <w:b/>
          <w:sz w:val="36"/>
        </w:rPr>
        <w:t xml:space="preserve">Joint Schedule 1 (Definitions) </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w:t>
      </w:r>
      <w:r>
        <w:t xml:space="preserve">In each Contract, unless the context otherwise requires, capitalised expressions shall have the meanings set out in this Joint Schedule 1 (Definitions) or the relevant Schedule in which that capitalised expression appears. </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w:t>
      </w:r>
      <w:r>
        <w:t>es not have an interpretation in this Schedule or any other Schedule, it shall, in the first instance, be interpreted in accordance with the common interpretation within the relevant market sector/industry where appropriate. Otherwise, it shall be interpre</w:t>
      </w:r>
      <w:r>
        <w:t xml:space="preserve">ted in accordance with the dictionary meaning. </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 </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w:t>
      </w:r>
      <w:r>
        <w:t xml:space="preserve">e an individual, company, body corporate, corporation, unincorporated association, firm, partnership or other legal entity or Crown Body; </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w:t>
      </w:r>
      <w:r>
        <w:t xml:space="preserve">to time; </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 xml:space="preserve">"; </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w:t>
      </w:r>
      <w:r>
        <w:t>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w:t>
      </w:r>
      <w:r>
        <w:t xml:space="preserve">rdingly; </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  </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w:t>
      </w:r>
      <w:r>
        <w:t xml:space="preserve">ables of the Schedule in which these references appear;  </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  </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w:t>
      </w:r>
      <w:r>
        <w:t xml:space="preserve">hall be inclusive </w:t>
      </w:r>
    </w:p>
    <w:p w:rsidR="005F0F9E" w:rsidRDefault="00F139A1">
      <w:pPr>
        <w:ind w:left="1985" w:right="741" w:firstLine="0"/>
      </w:pPr>
      <w:r>
        <w:t xml:space="preserve">of the clause numbers specified; </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w:t>
      </w:r>
      <w:r>
        <w:t xml:space="preserve">s contracting with the Crown as a whole. </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insurance requirements relating to an </w:t>
            </w:r>
            <w:r>
              <w:t xml:space="preserve">Order Contract specified in the Order Form additional to those outlined in Joint Schedule 3 (Insurance Requirements);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w:t>
            </w:r>
            <w:r>
              <w:t xml:space="preserve">arges published by the CCS on: http://CCS.cabinetoffice.gov.uk/i-amsupplier/management-information/admin-fees;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party seeking to claim relief in respect of a Force Majeure Event;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in relation to a body corporate, any other entity which directly or indirectly Controls, is Controlled by, or is under direct or indirect common Control of that body corporate from time to time;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extra information which supports a Schedule;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xml:space="preserve">" shall be construed accordingly; </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the Relevant Authority’s right to:  </w:t>
            </w:r>
          </w:p>
          <w:p w:rsidR="005F0F9E" w:rsidRDefault="00F139A1">
            <w:pPr>
              <w:numPr>
                <w:ilvl w:val="0"/>
                <w:numId w:val="1"/>
              </w:numPr>
              <w:spacing w:after="121" w:line="240" w:lineRule="auto"/>
              <w:ind w:right="67" w:hanging="260"/>
            </w:pPr>
            <w:r>
              <w:t xml:space="preserve">verify the accuracy of the Charges and any other amounts payable by a Buyer under an Order </w:t>
            </w:r>
            <w:r>
              <w:t xml:space="preserve">Contract (including proposed or actual variations to them in accordance with the Contract);  </w:t>
            </w:r>
          </w:p>
          <w:p w:rsidR="005F0F9E" w:rsidRDefault="00F139A1">
            <w:pPr>
              <w:numPr>
                <w:ilvl w:val="0"/>
                <w:numId w:val="1"/>
              </w:numPr>
              <w:spacing w:after="121" w:line="240" w:lineRule="auto"/>
              <w:ind w:right="67" w:hanging="260"/>
            </w:pPr>
            <w:r>
              <w:t xml:space="preserve">verify the costs of the Supplier (including the costs of all Subcontractors and any third party suppliers) in connection with the provision of the Services; </w:t>
            </w:r>
          </w:p>
          <w:p w:rsidR="005F0F9E" w:rsidRDefault="00F139A1">
            <w:pPr>
              <w:numPr>
                <w:ilvl w:val="0"/>
                <w:numId w:val="1"/>
              </w:numPr>
              <w:spacing w:after="122" w:line="259" w:lineRule="auto"/>
              <w:ind w:right="67" w:hanging="260"/>
            </w:pPr>
            <w:r>
              <w:t>veri</w:t>
            </w:r>
            <w:r>
              <w:t xml:space="preserve">fy the Open Book Data; </w:t>
            </w:r>
          </w:p>
          <w:p w:rsidR="005F0F9E" w:rsidRDefault="00F139A1">
            <w:pPr>
              <w:numPr>
                <w:ilvl w:val="0"/>
                <w:numId w:val="1"/>
              </w:numPr>
              <w:spacing w:after="121" w:line="240" w:lineRule="auto"/>
              <w:ind w:right="67" w:hanging="260"/>
            </w:pPr>
            <w:r>
              <w:t xml:space="preserve">verify the Supplier’s and each Subcontractor’s compliance with the applicable Law; </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w:t>
            </w:r>
            <w:r>
              <w:t xml:space="preserve">ounting mistakes or any breach or threatened breach of security and in these circumstances the Relevant Authority shall have no obligation to inform the Supplier of the purpose or objective of its investigations;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 xml:space="preserve">Subcontractors or their ability to provide the Deliverables; </w:t>
            </w:r>
          </w:p>
          <w:p w:rsidR="005F0F9E" w:rsidRDefault="00F139A1">
            <w:pPr>
              <w:numPr>
                <w:ilvl w:val="0"/>
                <w:numId w:val="2"/>
              </w:numPr>
              <w:spacing w:after="121" w:line="240" w:lineRule="auto"/>
              <w:ind w:right="68" w:hanging="260"/>
            </w:pPr>
            <w:r>
              <w:t>obtain such information as is necessary to fulfil the Relevant</w:t>
            </w:r>
            <w:r>
              <w:t xml:space="preserve"> Authority’s obligations to supply information for parliamentary, ministerial, judicial or administrative purposes including the supply of information to the Comptroller and Auditor General; </w:t>
            </w:r>
          </w:p>
          <w:p w:rsidR="005F0F9E" w:rsidRDefault="00F139A1">
            <w:pPr>
              <w:numPr>
                <w:ilvl w:val="0"/>
                <w:numId w:val="2"/>
              </w:numPr>
              <w:spacing w:after="144" w:line="240" w:lineRule="auto"/>
              <w:ind w:right="68" w:hanging="260"/>
            </w:pPr>
            <w:r>
              <w:t>review any books of account and the internal contract management</w:t>
            </w:r>
            <w:r>
              <w:t xml:space="preserve"> accounts kept by the Supplier in connection with each Contract; </w:t>
            </w:r>
          </w:p>
          <w:p w:rsidR="005F0F9E" w:rsidRDefault="00F139A1">
            <w:pPr>
              <w:numPr>
                <w:ilvl w:val="0"/>
                <w:numId w:val="2"/>
              </w:numPr>
              <w:spacing w:after="121" w:line="240" w:lineRule="auto"/>
              <w:ind w:right="68" w:hanging="260"/>
            </w:pPr>
            <w:r>
              <w:t xml:space="preserve">carry out the Relevant Authority’s internal and statutory audits and to prepare, examine and/or certify the Relevant Authority's annual and interim reports and accounts; </w:t>
            </w:r>
          </w:p>
          <w:p w:rsidR="005F0F9E" w:rsidRDefault="00F139A1">
            <w:pPr>
              <w:numPr>
                <w:ilvl w:val="0"/>
                <w:numId w:val="2"/>
              </w:numPr>
              <w:spacing w:after="0" w:line="240" w:lineRule="auto"/>
              <w:ind w:right="68" w:hanging="260"/>
            </w:pPr>
            <w:r>
              <w:t>enable the National</w:t>
            </w:r>
            <w:r>
              <w:t xml:space="preserve">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 xml:space="preserve">Authority has used its resources; </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 xml:space="preserve">Information delivered or required by the DPS Contract; </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 xml:space="preserve">the Buyer’s internal and external auditors; </w:t>
            </w:r>
          </w:p>
          <w:p w:rsidR="005F0F9E" w:rsidRDefault="00F139A1">
            <w:pPr>
              <w:numPr>
                <w:ilvl w:val="0"/>
                <w:numId w:val="3"/>
              </w:numPr>
              <w:spacing w:after="99" w:line="259" w:lineRule="auto"/>
              <w:ind w:right="0" w:hanging="262"/>
              <w:jc w:val="left"/>
            </w:pPr>
            <w:r>
              <w:t xml:space="preserve">the Buyer’s statutory or regulatory auditors; </w:t>
            </w:r>
          </w:p>
          <w:p w:rsidR="005F0F9E" w:rsidRDefault="00F139A1">
            <w:pPr>
              <w:numPr>
                <w:ilvl w:val="0"/>
                <w:numId w:val="3"/>
              </w:numPr>
              <w:spacing w:after="121" w:line="240" w:lineRule="auto"/>
              <w:ind w:right="0" w:hanging="262"/>
              <w:jc w:val="left"/>
            </w:pPr>
            <w:r>
              <w:t xml:space="preserve">the Comptroller and Auditor General, their staff and/or any appointed representatives of the National Audit Office; </w:t>
            </w:r>
          </w:p>
          <w:p w:rsidR="005F0F9E" w:rsidRDefault="00F139A1">
            <w:pPr>
              <w:numPr>
                <w:ilvl w:val="0"/>
                <w:numId w:val="3"/>
              </w:numPr>
              <w:spacing w:after="99" w:line="259" w:lineRule="auto"/>
              <w:ind w:right="0" w:hanging="262"/>
              <w:jc w:val="left"/>
            </w:pPr>
            <w:r>
              <w:t xml:space="preserve">HM Treasury or the Cabinet Office; </w:t>
            </w:r>
          </w:p>
          <w:p w:rsidR="005F0F9E" w:rsidRDefault="00F139A1">
            <w:pPr>
              <w:numPr>
                <w:ilvl w:val="0"/>
                <w:numId w:val="3"/>
              </w:numPr>
              <w:spacing w:after="121" w:line="240" w:lineRule="auto"/>
              <w:ind w:right="0" w:hanging="262"/>
              <w:jc w:val="left"/>
            </w:pPr>
            <w:r>
              <w:t xml:space="preserve">any party formally appointed by the Buyer to carry out audit or similar review functions; and </w:t>
            </w:r>
          </w:p>
          <w:p w:rsidR="005F0F9E" w:rsidRDefault="00F139A1">
            <w:pPr>
              <w:numPr>
                <w:ilvl w:val="0"/>
                <w:numId w:val="3"/>
              </w:numPr>
              <w:spacing w:after="0" w:line="259" w:lineRule="auto"/>
              <w:ind w:right="0" w:hanging="262"/>
              <w:jc w:val="left"/>
            </w:pPr>
            <w:r>
              <w:t>successo</w:t>
            </w:r>
            <w:r>
              <w:t xml:space="preserve">rs or assigns of any of the above; </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w:t>
            </w:r>
            <w:r>
              <w:t xml:space="preserve">n respect of which the Relevant Authority is liable to the Supplier;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Bankers’ Automated Clearing Services, which is a scheme for the electronic processing of financial transactions within the United Kingdom;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 xml:space="preserve">this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relevant public sector purchaser identified as such in the Order 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w:t>
            </w:r>
            <w:r>
              <w:t xml:space="preserve">er throughout the term of the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 xml:space="preserve">relation to the Order Contract initially identified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premises owned, controlled or occupied by the Buyer which are made available for use by the Supplier or its Subcontractors for the provision of the Deliverables (or any of them);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Non-Departme</w:t>
            </w:r>
            <w:r>
              <w:t xml:space="preserv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w:t>
            </w:r>
            <w:r>
              <w:t xml:space="preserve">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w:t>
            </w:r>
            <w:r>
              <w:t xml:space="preserve">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means any information, however it is conveyed, that relates to the business, affairs, developments, trade secrets, Know-How, personnel and suppliers of CCS, the Buyer or the Supplier, including IPRs, together with information derived from the above, and an</w:t>
            </w:r>
            <w:r>
              <w:t xml:space="preserve">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conflict between the financial or personal duties of t</w:t>
            </w:r>
            <w:r>
              <w:t xml:space="preserve">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w:t>
            </w:r>
            <w:r>
              <w:t xml:space="preserve">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w:t>
            </w:r>
            <w:r>
              <w:t xml:space="preserve">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a) the cost to the Supplier or the Key Subcontractor (as the context requires), calculated per Man Da</w:t>
            </w:r>
            <w:r>
              <w:t xml:space="preserve">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r>
              <w:t xml:space="preserve">i)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staff training; vii)</w:t>
            </w:r>
            <w:r>
              <w:t xml:space="preserve"> work place accommodation; viii)work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costs incurred i</w:t>
            </w:r>
            <w:r>
              <w:t>n respect of Supplier Assets which would be treated as capital costs according to generally accepted accounting principles within the UK, which shall include the cost to be charged in respect of Supplier Assets by the Supplier to the Buyer or (to the exten</w:t>
            </w:r>
            <w:r>
              <w:t xml:space="preserve">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operational costs which are not included within (a) or (b) above, to the extent that such costs are ne</w:t>
            </w:r>
            <w:r>
              <w:t xml:space="preserv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r>
              <w:t xml:space="preserve">Deliverables; </w:t>
            </w:r>
            <w:r>
              <w:rPr>
                <w:sz w:val="22"/>
              </w:rPr>
              <w:t xml:space="preserve"> </w:t>
            </w:r>
            <w:r>
              <w:t xml:space="preserve"> 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fines and pena</w:t>
            </w:r>
            <w:r>
              <w:t xml:space="preserve">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(i) the GDPR, the LED and any applicable national implementing Laws as amended from time to time (ii) the DPA </w:t>
            </w:r>
            <w:r>
              <w:t xml:space="preserve">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"Deductions"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any breach of the obligations of the Supplier (including abandonment of a Contract in breach of its terms) or any other default (including material default), act, omission, negligence or statement of the Supplier, of its Subcontractors or any Supplier Staf</w:t>
            </w:r>
            <w:r>
              <w:t xml:space="preserve">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w:t>
            </w:r>
            <w:r>
              <w:t xml:space="preserve">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w:t>
            </w:r>
            <w:r>
              <w:t>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w:t>
            </w:r>
            <w:r>
              <w:t xml:space="preserve">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will be unavailable (or could reasonably be anticipated to be unavailable) for the period specified in the Order Form (for the purposes of t</w:t>
            </w:r>
            <w:r>
              <w:t xml:space="preserve">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any claim, dispute or difference arises out of or in connection with the Contract or in connection with the negotiation, existence, legal validity, enforceability or termination of the Contract, whether the alleged liability shall arise under English law o</w:t>
            </w:r>
            <w:r>
              <w:t xml:space="preserve">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descriptions of the Services and Service Levels, technical specifications, user manuals, training manuals, operating manuals, process definitions and procedures, system environment descriptions and all such other documentation (whether in hardcopy or elect</w:t>
            </w:r>
            <w:r>
              <w:t xml:space="preserve">ronic form) is required to be supplied by the Supplier to the Buyer under a Contract as: </w:t>
            </w:r>
          </w:p>
          <w:p w:rsidR="005F0F9E" w:rsidRDefault="00F139A1">
            <w:pPr>
              <w:numPr>
                <w:ilvl w:val="0"/>
                <w:numId w:val="9"/>
              </w:numPr>
              <w:spacing w:after="120" w:line="240" w:lineRule="auto"/>
              <w:ind w:right="35" w:hanging="289"/>
            </w:pPr>
            <w:r>
              <w:t>would reasonably be required by a competent third party capable of Good Industry Practice contracted by the Buyer to develop, configure, build, deploy, run, maintain,</w:t>
            </w:r>
            <w:r>
              <w:t xml:space="preserve">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Disclosure of Tax Avoidance Schemes rules which require a promoter of tax schemes to tell HMRC of any specified notifiable arrangements or proposals and to provide prescribed information on those arrangements or proposals within set time limits as cont</w:t>
            </w:r>
            <w:r>
              <w:t xml:space="preserve">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the application submitted by the Supplier to CCS and annexed to or referred to in DPS Schedule 2 (DPS Application</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r>
              <w:rPr>
                <w:b/>
              </w:rPr>
              <w:t xml:space="preserve">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the contr</w:t>
            </w:r>
            <w:r>
              <w:t xml:space="preserve">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w:t>
            </w:r>
            <w:r>
              <w:t xml:space="preserve">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any information s</w:t>
            </w:r>
            <w:r>
              <w:t xml:space="preserve">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w:t>
            </w:r>
            <w:r>
              <w:t xml:space="preserve">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11.2 : </w:t>
            </w:r>
          </w:p>
          <w:p w:rsidR="005F0F9E" w:rsidRDefault="00F139A1">
            <w:pPr>
              <w:spacing w:after="128" w:line="240" w:lineRule="auto"/>
              <w:ind w:left="278" w:right="0" w:hanging="170"/>
              <w:jc w:val="left"/>
            </w:pPr>
            <w:r>
              <w:rPr>
                <w:sz w:val="22"/>
              </w:rPr>
              <w:t xml:space="preserve"> </w:t>
            </w:r>
            <w:r>
              <w:t xml:space="preserve">i)  </w:t>
            </w:r>
            <w:r>
              <w:t xml:space="preserve">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w:t>
            </w:r>
            <w:r>
              <w:t xml:space="preserve">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Freedom of Information Act 2000 and any subordinate legislation made under that Act from time to time together with any guidance and/or codes of practice issued by the Information Commissioner or relevant Government department in relation to such legis</w:t>
            </w:r>
            <w:r>
              <w:t xml:space="preserve">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acts, events, omissions, happenings or non-</w:t>
            </w:r>
            <w:r>
              <w:t xml:space="preserve">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w:t>
            </w:r>
            <w:r>
              <w:t xml:space="preserve">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r>
              <w:t xml:space="preserve">i) </w:t>
            </w:r>
            <w:r>
              <w:t xml:space="preserve">any industrial dispute relating to the Supplier, the Supplier Staff (including any subsets of them) or any other failure in the </w:t>
            </w:r>
          </w:p>
          <w:p w:rsidR="005F0F9E" w:rsidRDefault="00F139A1">
            <w:pPr>
              <w:spacing w:after="80" w:line="275" w:lineRule="auto"/>
              <w:ind w:left="541" w:right="67" w:firstLine="0"/>
              <w:jc w:val="right"/>
            </w:pPr>
            <w:r>
              <w:t>Supplier or the Subcontractor's supply chain;  ii) any event, occurrence, circumstance, matter or cause which is attributable t</w:t>
            </w:r>
            <w:r>
              <w:t xml:space="preserve">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r>
              <w:t xml:space="preserve">i)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w:t>
            </w:r>
            <w:r>
              <w:t xml:space="preserve">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a) goods made available by the Supplier as specified in DPS</w:t>
            </w:r>
            <w:r>
              <w:t xml:space="preserve">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standards, practices, methods and procedures conforming to the Law and the exercise of the degree of skill and care, diligence, p</w:t>
            </w:r>
            <w:r>
              <w:t xml:space="preserve">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the government of the United Kingdom (including the Northern Ireland Assembly and Executive Committee, the Scottish Government and the National Assembly for Wales), including government ministers and government departments and other bodies, persons, commis</w:t>
            </w:r>
            <w:r>
              <w:t xml:space="preserve">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r>
              <w:t>i) a</w:t>
            </w:r>
            <w:r>
              <w:t xml:space="preserve">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r>
              <w:t xml:space="preserve">i) </w:t>
            </w:r>
            <w:r>
              <w:t xml:space="preserve">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w:t>
            </w:r>
            <w:r>
              <w:t xml:space="preserve">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Contra</w:t>
            </w:r>
            <w:r>
              <w:t xml:space="preserve">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details of the ongoing costs required by the proposed Variation when implemented, including any increase or decrease in the DPS Pricing/Charges (as applicable), any alteration in the resour</w:t>
            </w:r>
            <w:r>
              <w:t xml:space="preserve">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such other information as the Relevant Aut</w:t>
            </w:r>
            <w:r>
              <w:t xml:space="preserve">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plan for provision of the Deliverables set out in Order Schedule 13 (</w:t>
            </w:r>
            <w:r>
              <w:t xml:space="preserve">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where a Controller has provided Personal Data to another Party which is not a Processor or a Joint Controller because the recipient itself determines the purposes and means of Processing but does so separately from the Controller providing it with Personal</w:t>
            </w:r>
            <w:r>
              <w:t xml:space="preserve">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w:t>
            </w:r>
            <w:r>
              <w:t xml:space="preserve">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initial term of a Contract specifi</w:t>
            </w:r>
            <w:r>
              <w:t xml:space="preserve">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w:t>
            </w:r>
            <w:r>
              <w:t xml:space="preserve">I of the Insolvency Act 1986 or of any other composition scheme or arrangement with, or assignment for the benefit of, its creditors; or c) a shareholders' meeting is convened for the purpose of considering a resolution that it be wound up or a resolution </w:t>
            </w:r>
            <w:r>
              <w:t xml:space="preserve">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a petition is presented for its winding up (which is not dismissed within fourteen (14) Working Days of its service) o</w:t>
            </w:r>
            <w:r>
              <w:t xml:space="preserve">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an application is made either for the appointment of an administrator or for an administration order, an administrator is appoint</w:t>
            </w:r>
            <w:r>
              <w:t xml:space="preserve">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being a "small company" within the meaning of section 382(3) of the Companies Act 2006, a m</w:t>
            </w:r>
            <w:r>
              <w:t xml:space="preserve">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w:t>
            </w:r>
            <w:r>
              <w:t xml:space="preserve">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w:t>
            </w:r>
            <w:r>
              <w:t xml:space="preserve">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a) copyright, rights related to or affording protection similar to copyright, rights in databases, patents and rights in inventions, semi</w:t>
            </w:r>
            <w:r>
              <w:t xml:space="preserve">-conductor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all other rights having equivalent or similar effect in any country or jur</w:t>
            </w:r>
            <w:r>
              <w:t xml:space="preserve">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w:t>
            </w:r>
            <w:r>
              <w:t>any claim of infringement or alleged infringement (including the defence of such infringement or alleged infringement) of any IPR, used to provide the Deliverables or otherwise provided and/or licensed by the Supplier (or to which the Supplier has provided</w:t>
            </w:r>
            <w:r>
              <w:t xml:space="preserve">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the off-</w:t>
            </w:r>
            <w:r>
              <w:t xml:space="preserve">payroll rules requiring individuals who work through their company pay the same tax and National Insurance contributions as an employee which can be found online at: </w:t>
            </w:r>
          </w:p>
          <w:p w:rsidR="005F0F9E" w:rsidRDefault="00F139A1">
            <w:pPr>
              <w:spacing w:after="0" w:line="259" w:lineRule="auto"/>
              <w:ind w:left="278" w:right="0" w:firstLine="0"/>
              <w:jc w:val="left"/>
            </w:pPr>
            <w:hyperlink r:id="rId23">
              <w:r>
                <w:rPr>
                  <w:color w:val="0000FF"/>
                  <w:u w:val="single" w:color="0000FF"/>
                </w:rPr>
                <w:t>https://www.go</w:t>
              </w:r>
              <w:r>
                <w:rPr>
                  <w:color w:val="0000FF"/>
                  <w:u w:val="single" w:color="0000FF"/>
                </w:rPr>
                <w:t>v.uk/guidance/ir35</w:t>
              </w:r>
            </w:hyperlink>
            <w:hyperlink r:id="rId24">
              <w:r>
                <w:rPr>
                  <w:color w:val="0000FF"/>
                  <w:u w:val="single" w:color="0000FF"/>
                </w:rPr>
                <w:t>-</w:t>
              </w:r>
            </w:hyperlink>
            <w:hyperlink r:id="rId25">
              <w:r>
                <w:rPr>
                  <w:color w:val="0000FF"/>
                  <w:u w:val="single" w:color="0000FF"/>
                </w:rPr>
                <w:t>find</w:t>
              </w:r>
            </w:hyperlink>
            <w:hyperlink r:id="rId26">
              <w:r>
                <w:rPr>
                  <w:color w:val="0000FF"/>
                  <w:u w:val="single" w:color="0000FF"/>
                </w:rPr>
                <w:t>-</w:t>
              </w:r>
            </w:hyperlink>
            <w:hyperlink r:id="rId27">
              <w:r>
                <w:rPr>
                  <w:color w:val="0000FF"/>
                  <w:u w:val="single" w:color="0000FF"/>
                </w:rPr>
                <w:t>out</w:t>
              </w:r>
            </w:hyperlink>
            <w:hyperlink r:id="rId28">
              <w:r>
                <w:rPr>
                  <w:color w:val="0000FF"/>
                  <w:u w:val="single" w:color="0000FF"/>
                </w:rPr>
                <w:t>-</w:t>
              </w:r>
            </w:hyperlink>
            <w:hyperlink r:id="rId29">
              <w:r>
                <w:rPr>
                  <w:color w:val="0000FF"/>
                  <w:u w:val="single" w:color="0000FF"/>
                </w:rPr>
                <w:t>if</w:t>
              </w:r>
            </w:hyperlink>
            <w:hyperlink r:id="rId30">
              <w:r>
                <w:rPr>
                  <w:color w:val="0000FF"/>
                  <w:u w:val="single" w:color="0000FF"/>
                </w:rPr>
                <w:t>-</w:t>
              </w:r>
            </w:hyperlink>
            <w:hyperlink r:id="rId31">
              <w:r>
                <w:rPr>
                  <w:color w:val="0000FF"/>
                  <w:u w:val="single" w:color="0000FF"/>
                </w:rPr>
                <w:t>it</w:t>
              </w:r>
            </w:hyperlink>
            <w:hyperlink r:id="rId32">
              <w:r>
                <w:rPr>
                  <w:color w:val="0000FF"/>
                  <w:u w:val="single" w:color="0000FF"/>
                </w:rPr>
                <w:t>-</w:t>
              </w:r>
            </w:hyperlink>
            <w:hyperlink r:id="rId33">
              <w:r>
                <w:rPr>
                  <w:color w:val="0000FF"/>
                  <w:u w:val="single" w:color="0000FF"/>
                </w:rPr>
                <w:t>applies</w:t>
              </w:r>
            </w:hyperlink>
            <w:hyperlink r:id="rId34">
              <w:r>
                <w:t>;</w:t>
              </w:r>
            </w:hyperlink>
            <w:r>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agreement (if any) entered into between the Relevant </w:t>
            </w:r>
            <w:r>
              <w:t>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with a Sub-</w:t>
            </w:r>
            <w:r>
              <w:t xml:space="preserve">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r>
              <w:t xml:space="preserve">Contract, </w:t>
            </w:r>
            <w:r>
              <w:rPr>
                <w:sz w:val="22"/>
              </w:rPr>
              <w:t xml:space="preserve"> </w:t>
            </w:r>
            <w:r>
              <w:t xml:space="preserve">and the Supplier shall list all such Key Subcontractors on the </w:t>
            </w:r>
          </w:p>
          <w:p w:rsidR="005F0F9E" w:rsidRDefault="00F139A1">
            <w:pPr>
              <w:spacing w:after="0" w:line="259" w:lineRule="auto"/>
              <w:ind w:left="0" w:right="17" w:firstLine="0"/>
              <w:jc w:val="center"/>
            </w:pPr>
            <w:r>
              <w:t xml:space="preserve">Platform </w:t>
            </w:r>
            <w:r>
              <w:t xml:space="preserve">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all ideas, concepts, schemes, information, knowledge, techniques, methodology, and anything else in the nature of know-how relating to the Deliverables but excluding know-</w:t>
            </w:r>
            <w:r>
              <w:t xml:space="preserve">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any law, subordinate legislation within the meaning of Section 21(1) of the Interpretation Act 1978, bye-law, enforceable right within the meaning of Section 2 of the E</w:t>
            </w:r>
            <w:r>
              <w:t xml:space="preserv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w:t>
            </w:r>
            <w:r>
              <w:t>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w:t>
            </w:r>
            <w:r>
              <w:t xml:space="preserve">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of  the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IPR in or arising as a result</w:t>
            </w:r>
            <w:r>
              <w:t xml:space="preserve"> of the performance of the Supplier’s obligations under a Contract and all updates and amendments to the same;  </w:t>
            </w:r>
            <w:r>
              <w:rPr>
                <w:sz w:val="22"/>
              </w:rPr>
              <w:t xml:space="preserve"> </w:t>
            </w:r>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w:t>
            </w:r>
            <w:r>
              <w:t xml:space="preserve">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r>
              <w:t>i) a Relevant Tax Authority successfully challenging the Supplier under the General Ant</w:t>
            </w:r>
            <w:r>
              <w: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Abuse Rule or the Halifax Abuse Principle; ii) the failure of an avoidance scheme which the</w:t>
            </w:r>
            <w:r>
              <w:t xml:space="preserv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any tax return of the Supplier submitted to a Relevant Tax Authority on or</w:t>
            </w:r>
            <w:r>
              <w:t xml:space="preserve">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complete and accurate financial and non-financial information which is sufficient to enable the Buyer to verify the Charges already paid or payable and Charges forecast to be paid during the remainder of the Order Contract, including details and all assump</w:t>
            </w:r>
            <w:r>
              <w:t xml:space="preserve">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manpower resources broken down into the number and grade/role of</w:t>
            </w:r>
            <w:r>
              <w:t xml:space="preserve">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Form;  c) Overheads;  </w:t>
            </w:r>
          </w:p>
          <w:p w:rsidR="005F0F9E" w:rsidRDefault="00F139A1">
            <w:pPr>
              <w:numPr>
                <w:ilvl w:val="0"/>
                <w:numId w:val="21"/>
              </w:numPr>
              <w:spacing w:after="120" w:line="240" w:lineRule="auto"/>
              <w:ind w:right="36" w:hanging="289"/>
            </w:pPr>
            <w:r>
              <w:t xml:space="preserve">all interest, expenses and any other third party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w:t>
            </w:r>
            <w:r>
              <w:t xml:space="preserve">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an explanation of the type and value of risk and contingenci</w:t>
            </w:r>
            <w:r>
              <w:t xml:space="preserve">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w:t>
            </w:r>
            <w:r>
              <w:t xml:space="preserve">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w:t>
            </w:r>
            <w:r>
              <w:t xml:space="preserve">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w:t>
            </w:r>
            <w:r>
              <w:t xml:space="preserve">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any actual or potential Buyer under the DPS Contract;</w:t>
            </w:r>
            <w:r>
              <w:t xml:space="preserve">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those amounts which are intended to recover a proportion of the Supplier’s or the Key Subcontractor’s (as the context requires) indirect corporate costs (including financing, marketing, advertising, research and development and insurance costs and any fine</w:t>
            </w:r>
            <w:r>
              <w:t xml:space="preserv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takes its natural meaning as inte</w:t>
            </w:r>
            <w:r>
              <w:t xml:space="preserv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a legal adviser, an MP or an appropriate body which a whistle-</w:t>
            </w:r>
            <w:r>
              <w:t xml:space="preserv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w:t>
            </w:r>
            <w:r>
              <w:t xml:space="preserve">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to directly or indirectly request, agree to receive or accept any financial or other advantage a</w:t>
            </w:r>
            <w:r>
              <w:t xml:space="preserve">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w:t>
            </w:r>
            <w:r>
              <w:t xml:space="preserve">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any activity, practice or conduct which would constitute one of the offences listed under (c) above if such activit</w:t>
            </w:r>
            <w:r>
              <w:t xml:space="preserve">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w:t>
            </w:r>
            <w:r>
              <w:t xml:space="preserve">and encrypting Personal Data, ensuring confidentiality, integrity, availability and resilience of systems and services, ensuring that availability of and access to Personal Data can be restored in a timely manner after an incident, and regularly assessing </w:t>
            </w:r>
            <w:r>
              <w:t xml:space="preserve">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Schedule 9 (Security), if applicable, in the case of an Order Contra</w:t>
            </w:r>
            <w:r>
              <w:t xml:space="preserve">ct;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Supplier’s plan (or revised plan) to rectify its breach using the template in Joint Schedule 10 (Rectification Plan Templ</w:t>
            </w:r>
            <w:r>
              <w:t xml:space="preserve">ate)which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Plan Process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the reasonable out of pocket travel and subsistence (for example, hotel and food) expenses, properly and necessarily incurred in the performance of the Services, calculated at the rates and in accordance with the Buyer's expenses policy current from time t</w:t>
            </w:r>
            <w:r>
              <w:t xml:space="preserve">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Buyer otherwise agrees in</w:t>
            </w:r>
            <w:r>
              <w:t xml:space="preserve"> advance in writing; and </w:t>
            </w:r>
            <w:r>
              <w:rPr>
                <w:sz w:val="22"/>
              </w:rPr>
              <w:t xml:space="preserve"> </w:t>
            </w:r>
            <w:r>
              <w:t xml:space="preserve">subsistence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a</w:t>
            </w:r>
            <w:r>
              <w:t xml:space="preserve">ny other information clearly designated as being confidential (whether or not it is marked "confidential") or which ought reasonably be considered confidential which comes (or has come) to the Relevant Authority’s attention or into the Relevant </w:t>
            </w:r>
          </w:p>
          <w:p w:rsidR="005F0F9E" w:rsidRDefault="00F139A1">
            <w:pPr>
              <w:spacing w:after="0" w:line="259" w:lineRule="auto"/>
              <w:ind w:left="541" w:right="0" w:firstLine="0"/>
              <w:jc w:val="left"/>
            </w:pPr>
            <w:r>
              <w:t>Authority’</w:t>
            </w:r>
            <w:r>
              <w:t xml:space="preserve">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any deliverables which are substantially similar to any of the Deliverables and which the Buyer receives in substitution for any of the Deliverables following the Order Expiry Date, whether those goods are provided by the Buyer internally and/or by any thi</w:t>
            </w:r>
            <w:r>
              <w:t xml:space="preserve">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any third party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insurances required by Joint Schedule 3 (In</w:t>
            </w:r>
            <w:r>
              <w:t xml:space="preserve">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w:t>
            </w:r>
            <w:r>
              <w:t xml:space="preserve">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w:t>
            </w:r>
            <w:r>
              <w:t xml:space="preserve">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"Self Audit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"Sites"</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third party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Form  or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t</w:t>
            </w:r>
            <w:r>
              <w:t xml:space="preserve">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standards published by BSI British Standards, the National Standards Body of the United Kingdom, the International Organisation for Standardisation or other reputable or equivalent bodies (and their successor bodies) that a skilled and experienced operator</w:t>
            </w:r>
            <w:r>
              <w:t xml:space="preserve">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w:t>
            </w:r>
            <w:r>
              <w:t xml:space="preserve">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w:t>
            </w:r>
            <w:r>
              <w:t xml:space="preserve">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a) a statement issued by the Buyer detailing its requirements in respect of Deliverables i</w:t>
            </w:r>
            <w:r>
              <w:t xml:space="preserve">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 xml:space="preserve">Deliverables (or any part of them); and/or </w:t>
            </w:r>
            <w:r>
              <w:rPr>
                <w:sz w:val="22"/>
              </w:rPr>
              <w:t xml:space="preserve"> </w:t>
            </w:r>
            <w:r>
              <w:t xml:space="preserve">is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any information, however it is conveyed, that relates to the business, affa</w:t>
            </w:r>
            <w:r>
              <w:t xml:space="preserve">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any other information clearly designated as being confidential (whether or not it is marked as "confidential") or which ought reasonably to be considered to be confidential and which comes (or has come) to the Supplier’s attention or into the Supplier’s po</w:t>
            </w:r>
            <w:r>
              <w:t xml:space="preserve">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left w:w="0" w:type="dxa"/>
          <w:bottom w:w="0"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w:t>
            </w:r>
            <w:r>
              <w:t xml:space="preserve">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a) the Supplier's hardware, computer and telecoms devices, equipment, plant</w:t>
            </w:r>
            <w:r>
              <w:t xml:space="preserve">,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Levels ;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a)</w:t>
            </w:r>
            <w:r>
              <w:t xml:space="preserve"> in relation to a period or a Milestone (as the context requires), the </w:t>
            </w:r>
          </w:p>
          <w:p w:rsidR="005F0F9E" w:rsidRDefault="00F139A1">
            <w:pPr>
              <w:spacing w:after="0" w:line="259" w:lineRule="auto"/>
              <w:ind w:left="685" w:right="69" w:firstLine="0"/>
            </w:pPr>
            <w:r>
              <w:t>Supplier Profit for the relevant period or in relation to the relevant Milestone divided by the total Charges over the same period or in relation to the relevant Milestone and expresse</w:t>
            </w:r>
            <w:r>
              <w:t xml:space="preserv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a w</w:t>
            </w:r>
            <w:r>
              <w:t xml:space="preserve">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shall be cons</w:t>
            </w:r>
            <w:r>
              <w:t xml:space="preserve">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any information which is exempt from disclosure in accordance with the provisions of the FOIA, which shall be determined</w:t>
            </w:r>
            <w:r>
              <w:t xml:space="preserve">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has the meaning g</w:t>
            </w:r>
            <w:r>
              <w:t xml:space="preserve">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(https://www.gov.uk/government/publications/procurement-p</w:t>
            </w:r>
            <w:r>
              <w:t xml:space="preserve">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39A1" w:rsidRDefault="00F139A1">
      <w:pPr>
        <w:spacing w:after="0" w:line="240" w:lineRule="auto"/>
      </w:pPr>
      <w:r>
        <w:separator/>
      </w:r>
    </w:p>
  </w:endnote>
  <w:endnote w:type="continuationSeparator" w:id="0">
    <w:p w:rsidR="00F139A1" w:rsidRDefault="00F139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RM6126 - Resea</w:t>
    </w:r>
    <w:r>
      <w:rPr>
        <w:sz w:val="20"/>
      </w:rPr>
      <w:t xml:space="preserve">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39A1" w:rsidRDefault="00F139A1">
      <w:pPr>
        <w:spacing w:after="0" w:line="240" w:lineRule="auto"/>
      </w:pPr>
      <w:r>
        <w:separator/>
      </w:r>
    </w:p>
  </w:footnote>
  <w:footnote w:type="continuationSeparator" w:id="0">
    <w:p w:rsidR="00F139A1" w:rsidRDefault="00F139A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1E0DA8"/>
    <w:rsid w:val="005F0F9E"/>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hyperlink" Target="https://www.gov.uk/guidance/ir35-find-out-if-it-applies" TargetMode="External"/><Relationship Id="rId21" Type="http://schemas.openxmlformats.org/officeDocument/2006/relationships/image" Target="media/image15.png"/><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16" Type="http://schemas.openxmlformats.org/officeDocument/2006/relationships/image" Target="media/image10.png"/><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yperlink" Target="https://www.gov.uk/government/publications/blowing-the-whistle-list-of-prescribed-people-and-bodies--2/whistleblowing-list-of-prescribed-people-and-bodies" TargetMode="External"/><Relationship Id="rId19" Type="http://schemas.openxmlformats.org/officeDocument/2006/relationships/image" Target="media/image1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77" Type="http://schemas.openxmlformats.org/officeDocument/2006/relationships/customXml" Target="../customXml/item3.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75" Type="http://schemas.openxmlformats.org/officeDocument/2006/relationships/customXml" Target="../customXml/item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3" Type="http://schemas.openxmlformats.org/officeDocument/2006/relationships/image" Target="media/image7.png"/><Relationship Id="rId18" Type="http://schemas.openxmlformats.org/officeDocument/2006/relationships/image" Target="media/image12.png"/><Relationship Id="rId39" Type="http://schemas.openxmlformats.org/officeDocument/2006/relationships/hyperlink" Target="https://www.gov.uk/government/publications/blowing-the-whistle-list-of-prescribed-people-and-bodies--2/whistleblowing-list-of-prescribed-people-and-bodies" TargetMode="External"/><Relationship Id="rId34" Type="http://schemas.openxmlformats.org/officeDocument/2006/relationships/hyperlink" Target="https://www.gov.uk/guidance/ir35-find-out-if-it-appl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76" Type="http://schemas.openxmlformats.org/officeDocument/2006/relationships/customXml" Target="../customXml/item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29"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0FB70A56AC8A45BAEEFD4A44B1A56B" ma:contentTypeVersion="12" ma:contentTypeDescription="Create a new document." ma:contentTypeScope="" ma:versionID="3f9eca89acd6a536c90989107e724458">
  <xsd:schema xmlns:xsd="http://www.w3.org/2001/XMLSchema" xmlns:xs="http://www.w3.org/2001/XMLSchema" xmlns:p="http://schemas.microsoft.com/office/2006/metadata/properties" xmlns:ns2="c5b3681b-f971-4d53-b84a-c49278846a98" xmlns:ns3="df2fe17e-1586-4888-a73f-0fe1768209fa" targetNamespace="http://schemas.microsoft.com/office/2006/metadata/properties" ma:root="true" ma:fieldsID="060d38f1631286e770b8609e325a8e1a" ns2:_="" ns3:_="">
    <xsd:import namespace="c5b3681b-f971-4d53-b84a-c49278846a98"/>
    <xsd:import namespace="df2fe17e-1586-4888-a73f-0fe1768209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b3681b-f971-4d53-b84a-c49278846a9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2fe17e-1586-4888-a73f-0fe1768209f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86FE19-697C-4179-BB8B-E34634926733}"/>
</file>

<file path=customXml/itemProps2.xml><?xml version="1.0" encoding="utf-8"?>
<ds:datastoreItem xmlns:ds="http://schemas.openxmlformats.org/officeDocument/2006/customXml" ds:itemID="{377B851D-107D-40C9-83FE-AC2434E514C0}"/>
</file>

<file path=customXml/itemProps3.xml><?xml version="1.0" encoding="utf-8"?>
<ds:datastoreItem xmlns:ds="http://schemas.openxmlformats.org/officeDocument/2006/customXml" ds:itemID="{37CDFAFD-A5A7-47D3-A9E0-C6C551E8E739}"/>
</file>

<file path=docProps/app.xml><?xml version="1.0" encoding="utf-8"?>
<Properties xmlns="http://schemas.openxmlformats.org/officeDocument/2006/extended-properties" xmlns:vt="http://schemas.openxmlformats.org/officeDocument/2006/docPropsVTypes">
  <Template>Normal</Template>
  <TotalTime>0</TotalTime>
  <Pages>3</Pages>
  <Words>10037</Words>
  <Characters>57213</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Paul Brown</cp:lastModifiedBy>
  <cp:revision>2</cp:revision>
  <dcterms:created xsi:type="dcterms:W3CDTF">2021-12-02T11:20:00Z</dcterms:created>
  <dcterms:modified xsi:type="dcterms:W3CDTF">2021-12-02T11:20:00Z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0x010100320FB70A56AC8A45BAEEFD4A44B1A56B</vt:lpwstr>
  </property>
</Properties>
</file>